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黑体" w:hAnsi="黑体" w:eastAsia="黑体"/>
          <w:sz w:val="32"/>
          <w:szCs w:val="32"/>
        </w:rPr>
      </w:pPr>
      <w:r>
        <w:rPr>
          <w:rFonts w:hint="eastAsia" w:ascii="黑体" w:hAnsi="黑体" w:eastAsia="黑体"/>
          <w:sz w:val="32"/>
          <w:szCs w:val="32"/>
        </w:rPr>
        <w:t>附件1：</w:t>
      </w:r>
    </w:p>
    <w:p>
      <w:pPr>
        <w:spacing w:line="580" w:lineRule="exact"/>
        <w:jc w:val="center"/>
        <w:rPr>
          <w:rFonts w:hint="eastAsia" w:ascii="方正小标宋简体" w:eastAsia="方正小标宋简体"/>
          <w:sz w:val="44"/>
          <w:szCs w:val="44"/>
        </w:rPr>
      </w:pPr>
      <w:r>
        <w:rPr>
          <w:rFonts w:hint="eastAsia" w:ascii="方正小标宋简体" w:eastAsia="方正小标宋简体"/>
          <w:sz w:val="44"/>
          <w:szCs w:val="44"/>
        </w:rPr>
        <w:t>湖北省教育科学规划2017年度</w:t>
      </w:r>
    </w:p>
    <w:p>
      <w:pPr>
        <w:spacing w:line="580" w:lineRule="exact"/>
        <w:jc w:val="center"/>
        <w:rPr>
          <w:rFonts w:ascii="方正小标宋简体" w:eastAsia="方正小标宋简体"/>
          <w:sz w:val="44"/>
          <w:szCs w:val="44"/>
        </w:rPr>
      </w:pPr>
      <w:r>
        <w:rPr>
          <w:rFonts w:hint="eastAsia" w:ascii="方正小标宋简体" w:eastAsia="方正小标宋简体"/>
          <w:sz w:val="44"/>
          <w:szCs w:val="44"/>
        </w:rPr>
        <w:t>重大招标课题名称及内容</w:t>
      </w:r>
    </w:p>
    <w:p>
      <w:pPr>
        <w:spacing w:line="580" w:lineRule="exact"/>
        <w:rPr>
          <w:rFonts w:ascii="仿宋_GB2312" w:eastAsia="仿宋_GB2312"/>
          <w:sz w:val="32"/>
          <w:szCs w:val="32"/>
        </w:rPr>
      </w:pPr>
    </w:p>
    <w:p>
      <w:pPr>
        <w:spacing w:line="580" w:lineRule="exact"/>
        <w:ind w:firstLine="640" w:firstLineChars="200"/>
        <w:jc w:val="left"/>
        <w:rPr>
          <w:rFonts w:hint="eastAsia" w:ascii="黑体" w:hAnsi="黑体" w:eastAsia="黑体"/>
          <w:sz w:val="32"/>
          <w:szCs w:val="32"/>
        </w:rPr>
      </w:pPr>
      <w:r>
        <w:rPr>
          <w:rFonts w:hint="eastAsia" w:ascii="黑体" w:hAnsi="黑体" w:eastAsia="黑体"/>
          <w:sz w:val="32"/>
          <w:szCs w:val="32"/>
        </w:rPr>
        <w:t>一、湖北教育现代化2035研究</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立足第二个百年目标，面向2035，研究湖北教育面临的发展形势，提出湖北教育现代化发展的战略目标、任务和重大政策、发展路径，为湖北教育现代化2035提供政策建议和理论支撑。</w:t>
      </w:r>
    </w:p>
    <w:p>
      <w:pPr>
        <w:spacing w:line="580" w:lineRule="exact"/>
        <w:ind w:firstLine="636" w:firstLineChars="199"/>
        <w:jc w:val="left"/>
        <w:rPr>
          <w:rFonts w:hint="eastAsia" w:ascii="黑体" w:hAnsi="黑体" w:eastAsia="黑体" w:cs="宋体"/>
          <w:bCs/>
          <w:kern w:val="0"/>
          <w:sz w:val="32"/>
          <w:szCs w:val="32"/>
        </w:rPr>
      </w:pPr>
      <w:r>
        <w:rPr>
          <w:rFonts w:hint="eastAsia" w:ascii="黑体" w:hAnsi="黑体" w:eastAsia="黑体" w:cs="宋体"/>
          <w:bCs/>
          <w:kern w:val="0"/>
          <w:sz w:val="32"/>
          <w:szCs w:val="32"/>
        </w:rPr>
        <w:t>二、省级财政项目绩效评价的问题与对策研究</w:t>
      </w:r>
    </w:p>
    <w:p>
      <w:pPr>
        <w:spacing w:line="580" w:lineRule="exact"/>
        <w:ind w:firstLine="636" w:firstLineChars="199"/>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省级财政支出教育项目绩效评价工作现状研究，省级财政支出教育项目绩效评价中的问题及原因分析，提出省级财政支出教育项目绩效评价工作的建议与对策。</w:t>
      </w:r>
    </w:p>
    <w:p>
      <w:pPr>
        <w:spacing w:line="580" w:lineRule="exact"/>
        <w:ind w:firstLine="636" w:firstLineChars="199"/>
        <w:jc w:val="left"/>
        <w:rPr>
          <w:rFonts w:hint="eastAsia" w:ascii="黑体" w:hAnsi="黑体" w:eastAsia="黑体" w:cs="宋体"/>
          <w:bCs/>
          <w:kern w:val="0"/>
          <w:sz w:val="32"/>
          <w:szCs w:val="32"/>
        </w:rPr>
      </w:pPr>
      <w:r>
        <w:rPr>
          <w:rFonts w:hint="eastAsia" w:ascii="黑体" w:hAnsi="黑体" w:eastAsia="黑体" w:cs="宋体"/>
          <w:bCs/>
          <w:kern w:val="0"/>
          <w:sz w:val="32"/>
          <w:szCs w:val="32"/>
        </w:rPr>
        <w:t>三、立德树人的家校合作机制建设研究与实践</w:t>
      </w:r>
    </w:p>
    <w:p>
      <w:pPr>
        <w:spacing w:line="580" w:lineRule="exact"/>
        <w:ind w:firstLine="636" w:firstLineChars="199"/>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根据全国妇联和教育部等多部委的相关工作指导意见，着眼于落实立德树人根本任务，建立良好家教家风，探索中小学（幼儿园）与家庭合作机制有效途径，提出改善家庭教育的政策建议。</w:t>
      </w:r>
    </w:p>
    <w:p>
      <w:pPr>
        <w:spacing w:line="580" w:lineRule="exact"/>
        <w:ind w:firstLine="636" w:firstLineChars="199"/>
        <w:jc w:val="left"/>
        <w:rPr>
          <w:rFonts w:hint="eastAsia" w:ascii="黑体" w:hAnsi="黑体" w:eastAsia="黑体"/>
          <w:sz w:val="32"/>
          <w:szCs w:val="32"/>
        </w:rPr>
      </w:pPr>
      <w:r>
        <w:rPr>
          <w:rFonts w:hint="eastAsia" w:ascii="黑体" w:hAnsi="黑体" w:eastAsia="黑体"/>
          <w:sz w:val="32"/>
          <w:szCs w:val="32"/>
        </w:rPr>
        <w:t>四、湖北省县域城乡义务教育一体化发展研究</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立足我省实际，梳理国内外推进城乡义务教育一体化改革发展的作法及经验，提出推进县域内城乡义务教育一体化发展的主要目标、实施路径及重大举措。</w:t>
      </w:r>
    </w:p>
    <w:p>
      <w:pPr>
        <w:spacing w:line="580" w:lineRule="exact"/>
        <w:ind w:firstLine="630"/>
        <w:jc w:val="left"/>
        <w:rPr>
          <w:rFonts w:hint="eastAsia" w:ascii="黑体" w:hAnsi="黑体" w:eastAsia="黑体"/>
          <w:sz w:val="32"/>
          <w:szCs w:val="32"/>
        </w:rPr>
      </w:pPr>
      <w:r>
        <w:rPr>
          <w:rFonts w:hint="eastAsia" w:ascii="黑体" w:hAnsi="黑体" w:eastAsia="黑体"/>
          <w:sz w:val="32"/>
          <w:szCs w:val="32"/>
        </w:rPr>
        <w:t>五、基础教育阶段入学制度研究</w:t>
      </w:r>
    </w:p>
    <w:p>
      <w:pPr>
        <w:spacing w:line="580" w:lineRule="exact"/>
        <w:ind w:firstLine="630"/>
        <w:jc w:val="left"/>
        <w:rPr>
          <w:rFonts w:hint="eastAsia" w:ascii="仿宋_GB2312" w:hAnsi="黑体" w:eastAsia="仿宋_GB2312"/>
          <w:sz w:val="32"/>
          <w:szCs w:val="32"/>
        </w:rPr>
      </w:pPr>
      <w:r>
        <w:rPr>
          <w:rFonts w:hint="eastAsia" w:ascii="仿宋_GB2312" w:hAnsi="黑体" w:eastAsia="仿宋_GB2312"/>
          <w:sz w:val="32"/>
          <w:szCs w:val="32"/>
        </w:rPr>
        <w:t>梳理我国及我省义务教育及高中阶段入学政策，分析入学制度的本质、特点及存在的问题，在借鉴国外发达国家及外省入学制度成功经验基础上，提出进一步完善小学入学、小升初、高中招生制度的政策建议。</w:t>
      </w:r>
    </w:p>
    <w:p>
      <w:pPr>
        <w:spacing w:line="580" w:lineRule="exact"/>
        <w:ind w:firstLine="640" w:firstLineChars="200"/>
        <w:jc w:val="left"/>
        <w:rPr>
          <w:rFonts w:hint="eastAsia" w:ascii="黑体" w:hAnsi="黑体" w:eastAsia="黑体"/>
          <w:sz w:val="32"/>
          <w:szCs w:val="32"/>
        </w:rPr>
      </w:pPr>
      <w:r>
        <w:rPr>
          <w:rFonts w:hint="eastAsia" w:ascii="黑体" w:hAnsi="黑体" w:eastAsia="黑体"/>
          <w:sz w:val="32"/>
          <w:szCs w:val="32"/>
        </w:rPr>
        <w:t>六、中小学教育质量评价核心要素及评价工具研究</w:t>
      </w:r>
    </w:p>
    <w:p>
      <w:pPr>
        <w:spacing w:line="580" w:lineRule="exact"/>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通过文献研究和实验研究，建构中小学教育质量评价核心要素体系，形成中小学学科教育质量评价体系和评价工具。</w:t>
      </w:r>
    </w:p>
    <w:p>
      <w:pPr>
        <w:spacing w:line="580" w:lineRule="exact"/>
        <w:ind w:firstLine="636" w:firstLineChars="199"/>
        <w:jc w:val="left"/>
        <w:rPr>
          <w:rFonts w:hint="eastAsia" w:ascii="黑体" w:hAnsi="黑体" w:eastAsia="黑体" w:cs="宋体"/>
          <w:bCs/>
          <w:kern w:val="0"/>
          <w:sz w:val="32"/>
          <w:szCs w:val="32"/>
        </w:rPr>
      </w:pPr>
      <w:r>
        <w:rPr>
          <w:rFonts w:hint="eastAsia" w:ascii="黑体" w:hAnsi="黑体" w:eastAsia="黑体" w:cs="宋体"/>
          <w:bCs/>
          <w:kern w:val="0"/>
          <w:sz w:val="32"/>
          <w:szCs w:val="32"/>
        </w:rPr>
        <w:t>七、湖北省中小学生体质健康发展研究</w:t>
      </w:r>
    </w:p>
    <w:p>
      <w:pPr>
        <w:spacing w:line="580" w:lineRule="exact"/>
        <w:ind w:firstLine="636" w:firstLineChars="199"/>
        <w:jc w:val="left"/>
        <w:rPr>
          <w:rFonts w:hint="eastAsia" w:ascii="仿宋_GB2312" w:hAnsi="黑体" w:eastAsia="仿宋_GB2312"/>
          <w:sz w:val="32"/>
          <w:szCs w:val="32"/>
        </w:rPr>
      </w:pPr>
      <w:r>
        <w:rPr>
          <w:rFonts w:hint="eastAsia" w:ascii="仿宋_GB2312" w:hAnsi="黑体" w:eastAsia="仿宋_GB2312"/>
          <w:sz w:val="32"/>
          <w:szCs w:val="32"/>
        </w:rPr>
        <w:t>通过监测评价，动态把握全省中小学生近3年体质健康变化趋势，深入分析测试结果和影响因素，科学预测变动走向，提出完善学生体质健康、特别是近视和肥胖等问题的改进措施和对策。</w:t>
      </w:r>
    </w:p>
    <w:p>
      <w:pPr>
        <w:spacing w:line="580" w:lineRule="exact"/>
        <w:ind w:firstLine="636" w:firstLineChars="199"/>
        <w:jc w:val="left"/>
        <w:rPr>
          <w:rFonts w:hint="eastAsia" w:ascii="黑体" w:hAnsi="黑体" w:eastAsia="黑体"/>
          <w:sz w:val="32"/>
          <w:szCs w:val="32"/>
        </w:rPr>
      </w:pPr>
      <w:r>
        <w:rPr>
          <w:rFonts w:hint="eastAsia" w:ascii="黑体" w:hAnsi="黑体" w:eastAsia="黑体"/>
          <w:sz w:val="32"/>
          <w:szCs w:val="32"/>
        </w:rPr>
        <w:t>八、学科核心素养在课程实施中的路径与策略研究</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在理论梳理的基础上开展教学实践活动、教学案例分析，形成义务教育阶段各学科核心素养在课程设计、教学实践、考试评价三个维度的实施路径与策略方案。</w:t>
      </w:r>
    </w:p>
    <w:p>
      <w:pPr>
        <w:spacing w:line="580" w:lineRule="exact"/>
        <w:ind w:firstLine="630"/>
        <w:jc w:val="left"/>
        <w:rPr>
          <w:rFonts w:hint="eastAsia" w:ascii="黑体" w:hAnsi="黑体" w:eastAsia="黑体"/>
          <w:sz w:val="32"/>
          <w:szCs w:val="32"/>
        </w:rPr>
      </w:pPr>
      <w:r>
        <w:rPr>
          <w:rFonts w:hint="eastAsia" w:ascii="黑体" w:hAnsi="黑体" w:eastAsia="黑体"/>
          <w:sz w:val="32"/>
          <w:szCs w:val="32"/>
        </w:rPr>
        <w:t>九、基于学生发展的拓展课程研究与开发</w:t>
      </w:r>
    </w:p>
    <w:p>
      <w:pPr>
        <w:spacing w:line="580" w:lineRule="exact"/>
        <w:ind w:firstLine="630"/>
        <w:rPr>
          <w:rFonts w:hint="eastAsia" w:ascii="仿宋_GB2312" w:hAnsi="黑体" w:eastAsia="仿宋_GB2312"/>
          <w:sz w:val="32"/>
          <w:szCs w:val="32"/>
        </w:rPr>
      </w:pPr>
      <w:r>
        <w:rPr>
          <w:rFonts w:hint="eastAsia" w:ascii="仿宋_GB2312" w:hAnsi="黑体" w:eastAsia="仿宋_GB2312"/>
          <w:sz w:val="32"/>
          <w:szCs w:val="32"/>
        </w:rPr>
        <w:t>依据培养学生思想品格、核心素养和学科课程标准的目标要求，探索把国家课程和地方课程的部分内容开发为拓展性课程的原则、路径、方法和策略，开发培养学生的潜能和特长，增加学校办学特色的选择性课程。</w:t>
      </w:r>
    </w:p>
    <w:p>
      <w:pPr>
        <w:spacing w:line="580" w:lineRule="exact"/>
        <w:ind w:left="636" w:leftChars="303"/>
        <w:jc w:val="left"/>
        <w:rPr>
          <w:rFonts w:hint="eastAsia" w:ascii="黑体" w:hAnsi="黑体" w:eastAsia="黑体" w:cs="宋体"/>
          <w:bCs/>
          <w:kern w:val="0"/>
          <w:sz w:val="32"/>
          <w:szCs w:val="32"/>
        </w:rPr>
      </w:pPr>
      <w:r>
        <w:rPr>
          <w:rFonts w:hint="eastAsia" w:ascii="黑体" w:hAnsi="黑体" w:eastAsia="黑体" w:cs="宋体"/>
          <w:bCs/>
          <w:kern w:val="0"/>
          <w:sz w:val="32"/>
          <w:szCs w:val="32"/>
        </w:rPr>
        <w:t>十、新高考背景下高中教学与管理改革的实践研究</w:t>
      </w:r>
    </w:p>
    <w:p>
      <w:pPr>
        <w:spacing w:line="580" w:lineRule="exact"/>
        <w:ind w:left="636" w:leftChars="303"/>
        <w:jc w:val="left"/>
        <w:rPr>
          <w:rFonts w:hint="eastAsia" w:ascii="仿宋_GB2312" w:hAnsi="黑体" w:eastAsia="仿宋_GB2312" w:cs="黑体"/>
          <w:bCs/>
          <w:sz w:val="32"/>
          <w:szCs w:val="32"/>
        </w:rPr>
      </w:pPr>
      <w:r>
        <w:rPr>
          <w:rFonts w:hint="eastAsia" w:ascii="仿宋_GB2312" w:hAnsi="黑体" w:eastAsia="仿宋_GB2312" w:cs="黑体"/>
          <w:bCs/>
          <w:sz w:val="32"/>
          <w:szCs w:val="32"/>
        </w:rPr>
        <w:t>分析新高考对高中教学带来的挑战，探讨新高考背景下</w:t>
      </w:r>
    </w:p>
    <w:p>
      <w:pPr>
        <w:spacing w:line="580" w:lineRule="exact"/>
        <w:jc w:val="left"/>
        <w:rPr>
          <w:rFonts w:hint="eastAsia" w:ascii="仿宋_GB2312" w:hAnsi="黑体" w:eastAsia="仿宋_GB2312" w:cs="黑体"/>
          <w:bCs/>
          <w:sz w:val="32"/>
          <w:szCs w:val="32"/>
        </w:rPr>
      </w:pPr>
      <w:r>
        <w:rPr>
          <w:rFonts w:hint="eastAsia" w:ascii="仿宋_GB2312" w:hAnsi="黑体" w:eastAsia="仿宋_GB2312" w:cs="黑体"/>
          <w:bCs/>
          <w:sz w:val="32"/>
          <w:szCs w:val="32"/>
        </w:rPr>
        <w:t>高中教学与管理改革的目标、路径和方法，并在实践中探索形成新时期高中教学与管理改革的典型案例。</w:t>
      </w:r>
    </w:p>
    <w:p>
      <w:pPr>
        <w:widowControl/>
        <w:shd w:val="clear" w:color="auto" w:fill="FFFFFF"/>
        <w:spacing w:line="560" w:lineRule="exact"/>
        <w:ind w:firstLine="627" w:firstLineChars="196"/>
        <w:jc w:val="left"/>
        <w:rPr>
          <w:rFonts w:hint="eastAsia" w:ascii="黑体" w:hAnsi="黑体" w:eastAsia="黑体" w:cs="宋体"/>
          <w:kern w:val="0"/>
          <w:sz w:val="32"/>
          <w:szCs w:val="32"/>
        </w:rPr>
      </w:pPr>
      <w:r>
        <w:rPr>
          <w:rFonts w:hint="eastAsia" w:ascii="黑体" w:hAnsi="黑体" w:eastAsia="黑体" w:cs="宋体"/>
          <w:bCs/>
          <w:kern w:val="0"/>
          <w:sz w:val="32"/>
          <w:szCs w:val="32"/>
        </w:rPr>
        <w:t>十一、</w:t>
      </w:r>
      <w:r>
        <w:rPr>
          <w:rFonts w:hint="eastAsia" w:ascii="黑体" w:hAnsi="黑体" w:eastAsia="黑体" w:cs="宋体"/>
          <w:kern w:val="0"/>
          <w:sz w:val="32"/>
          <w:szCs w:val="32"/>
        </w:rPr>
        <w:t>湖北省职业教育供给侧结构性改革理论与实践研究</w:t>
      </w:r>
    </w:p>
    <w:p>
      <w:pPr>
        <w:spacing w:line="560" w:lineRule="exact"/>
        <w:ind w:firstLine="640" w:firstLineChars="200"/>
        <w:rPr>
          <w:rFonts w:hint="eastAsia" w:ascii="Verdana" w:hAnsi="Verdana" w:cs="宋体"/>
          <w:color w:val="333333"/>
          <w:kern w:val="0"/>
          <w:szCs w:val="21"/>
        </w:rPr>
      </w:pPr>
      <w:r>
        <w:rPr>
          <w:rFonts w:hint="eastAsia" w:ascii="仿宋_GB2312" w:hAnsi="_5b8b_4f53" w:eastAsia="仿宋_GB2312" w:cs="宋体"/>
          <w:kern w:val="0"/>
          <w:sz w:val="32"/>
          <w:szCs w:val="32"/>
        </w:rPr>
        <w:t>应用供给侧结构性改革理论，对湖北现代制造业和职业院校专业建设开展调研分析，在深入研究湖北现代制造业对技术技能人才及技术的需求情况和职业院校技术技能人才和技术创新供给情况的基础上，提出</w:t>
      </w:r>
      <w:r>
        <w:rPr>
          <w:rFonts w:hint="eastAsia" w:ascii="仿宋_GB2312" w:eastAsia="仿宋_GB2312"/>
          <w:sz w:val="32"/>
          <w:szCs w:val="32"/>
        </w:rPr>
        <w:t>推动供需双侧人才链、创新链和产业链深度融合的政策建议。</w:t>
      </w:r>
    </w:p>
    <w:p>
      <w:pPr>
        <w:spacing w:line="560" w:lineRule="exact"/>
        <w:ind w:firstLine="627" w:firstLineChars="196"/>
        <w:rPr>
          <w:rFonts w:hint="eastAsia" w:ascii="黑体" w:hAnsi="黑体" w:eastAsia="黑体"/>
          <w:kern w:val="0"/>
          <w:sz w:val="32"/>
          <w:szCs w:val="32"/>
        </w:rPr>
      </w:pPr>
      <w:r>
        <w:rPr>
          <w:rFonts w:hint="eastAsia" w:ascii="黑体" w:hAnsi="黑体" w:eastAsia="黑体"/>
          <w:bCs/>
          <w:kern w:val="0"/>
          <w:sz w:val="32"/>
          <w:szCs w:val="32"/>
        </w:rPr>
        <w:t>十二、</w:t>
      </w:r>
      <w:r>
        <w:rPr>
          <w:rFonts w:hint="eastAsia" w:ascii="黑体" w:hAnsi="黑体" w:eastAsia="黑体"/>
          <w:kern w:val="0"/>
          <w:sz w:val="32"/>
          <w:szCs w:val="32"/>
        </w:rPr>
        <w:t>湖北省高职教育办学质量评价体系研究</w:t>
      </w:r>
    </w:p>
    <w:p>
      <w:pPr>
        <w:spacing w:line="560" w:lineRule="exact"/>
        <w:ind w:firstLine="640" w:firstLineChars="200"/>
        <w:rPr>
          <w:rFonts w:hint="eastAsia" w:ascii="仿宋_GB2312" w:eastAsia="仿宋_GB2312"/>
          <w:kern w:val="0"/>
          <w:sz w:val="32"/>
          <w:szCs w:val="32"/>
        </w:rPr>
      </w:pPr>
      <w:r>
        <w:rPr>
          <w:rFonts w:hint="eastAsia" w:ascii="仿宋_GB2312" w:eastAsia="仿宋_GB2312"/>
          <w:kern w:val="0"/>
          <w:sz w:val="32"/>
          <w:szCs w:val="32"/>
        </w:rPr>
        <w:t>通过对高职院校办学水平与人才培养质量评价的政策措施、政策工具与技术平台有效性分析，以及高职院校治理结构研究，探索体现“管办评”“放管服”要求，具有湖北特色的基于分类分层的高职院校办学质量评价框架，优化政府层面规范化、常态化评价机制以及</w:t>
      </w:r>
      <w:r>
        <w:rPr>
          <w:rFonts w:ascii="仿宋_GB2312" w:eastAsia="仿宋_GB2312"/>
          <w:kern w:val="0"/>
          <w:sz w:val="32"/>
          <w:szCs w:val="32"/>
        </w:rPr>
        <w:t>高职院校</w:t>
      </w:r>
      <w:r>
        <w:rPr>
          <w:rFonts w:hint="eastAsia" w:ascii="仿宋_GB2312" w:eastAsia="仿宋_GB2312"/>
          <w:kern w:val="0"/>
          <w:sz w:val="32"/>
          <w:szCs w:val="32"/>
        </w:rPr>
        <w:t>内部质量保证体系</w:t>
      </w:r>
      <w:r>
        <w:rPr>
          <w:rFonts w:ascii="仿宋_GB2312" w:eastAsia="仿宋_GB2312"/>
          <w:kern w:val="0"/>
          <w:sz w:val="32"/>
          <w:szCs w:val="32"/>
        </w:rPr>
        <w:t>动态调整</w:t>
      </w:r>
      <w:r>
        <w:rPr>
          <w:rFonts w:hint="eastAsia" w:ascii="仿宋_GB2312" w:eastAsia="仿宋_GB2312"/>
          <w:kern w:val="0"/>
          <w:sz w:val="32"/>
          <w:szCs w:val="32"/>
        </w:rPr>
        <w:t>机制</w:t>
      </w:r>
      <w:r>
        <w:rPr>
          <w:rFonts w:ascii="仿宋_GB2312" w:eastAsia="仿宋_GB2312"/>
          <w:kern w:val="0"/>
          <w:sz w:val="32"/>
          <w:szCs w:val="32"/>
        </w:rPr>
        <w:t xml:space="preserve">。 </w:t>
      </w:r>
    </w:p>
    <w:p>
      <w:pPr>
        <w:spacing w:line="580" w:lineRule="exact"/>
        <w:ind w:firstLine="636" w:firstLineChars="199"/>
        <w:jc w:val="left"/>
        <w:rPr>
          <w:rFonts w:hint="eastAsia" w:ascii="黑体" w:hAnsi="黑体" w:eastAsia="黑体"/>
          <w:sz w:val="32"/>
          <w:szCs w:val="32"/>
        </w:rPr>
      </w:pPr>
      <w:r>
        <w:rPr>
          <w:rFonts w:hint="eastAsia" w:ascii="黑体" w:hAnsi="黑体" w:eastAsia="黑体"/>
          <w:sz w:val="32"/>
          <w:szCs w:val="32"/>
        </w:rPr>
        <w:t>十三、湖北省一流大学和一流学科建设标准及绩效评价研究</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根据国际惯例、国家标准，研究湖北一流大学和一流学科（以下简称“双一流”）建设标准及绩效评价的基础理论，提出湖北“双一流”建设标准和绩效评价方案，为湖北开展“双一流”建设提供理论支撑。</w:t>
      </w:r>
    </w:p>
    <w:p>
      <w:pPr>
        <w:spacing w:line="580" w:lineRule="exact"/>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十四、湖北省地方高校转型发展研究</w:t>
      </w:r>
    </w:p>
    <w:p>
      <w:pPr>
        <w:spacing w:line="580" w:lineRule="exact"/>
        <w:ind w:firstLine="636" w:firstLineChars="199"/>
        <w:jc w:val="left"/>
        <w:rPr>
          <w:rFonts w:hint="eastAsia" w:ascii="仿宋_GB2312" w:hAnsi="_5b8b_4f53" w:eastAsia="仿宋_GB2312" w:cs="宋体"/>
          <w:bCs/>
          <w:kern w:val="0"/>
          <w:sz w:val="32"/>
          <w:szCs w:val="32"/>
        </w:rPr>
      </w:pPr>
      <w:r>
        <w:rPr>
          <w:rFonts w:hint="eastAsia" w:ascii="仿宋_GB2312" w:hAnsi="_5b8b_4f53" w:eastAsia="仿宋_GB2312" w:cs="宋体"/>
          <w:bCs/>
          <w:kern w:val="0"/>
          <w:sz w:val="32"/>
          <w:szCs w:val="32"/>
        </w:rPr>
        <w:t>调查分析近年来我省地方高校转型发展的现状、问题和影响因素，系统研究转型发展机制、路径、模式，提出促进我省地方高校转型发展的指导意见和政策建议。</w:t>
      </w:r>
    </w:p>
    <w:p>
      <w:pPr>
        <w:spacing w:line="580" w:lineRule="exact"/>
        <w:ind w:firstLine="630"/>
        <w:jc w:val="left"/>
        <w:rPr>
          <w:rFonts w:hint="eastAsia" w:ascii="黑体" w:hAnsi="黑体" w:eastAsia="黑体"/>
          <w:sz w:val="32"/>
          <w:szCs w:val="32"/>
        </w:rPr>
      </w:pPr>
      <w:r>
        <w:rPr>
          <w:rFonts w:hint="eastAsia" w:ascii="黑体" w:hAnsi="黑体" w:eastAsia="黑体"/>
          <w:sz w:val="32"/>
          <w:szCs w:val="32"/>
        </w:rPr>
        <w:t>十五、服务地方产业经济发展的新工科研究与实践</w:t>
      </w:r>
    </w:p>
    <w:p>
      <w:pPr>
        <w:spacing w:line="580" w:lineRule="exact"/>
        <w:ind w:firstLine="640" w:firstLineChars="200"/>
        <w:jc w:val="left"/>
        <w:rPr>
          <w:rFonts w:ascii="仿宋_GB2312" w:eastAsia="仿宋_GB2312"/>
          <w:sz w:val="32"/>
          <w:szCs w:val="32"/>
        </w:rPr>
      </w:pPr>
      <w:r>
        <w:rPr>
          <w:rFonts w:ascii="仿宋_GB2312" w:eastAsia="仿宋_GB2312"/>
          <w:sz w:val="32"/>
          <w:szCs w:val="32"/>
        </w:rPr>
        <w:t>结合工程教育发展的历史与现实，分析地方产业</w:t>
      </w:r>
      <w:r>
        <w:rPr>
          <w:rFonts w:hint="eastAsia" w:ascii="仿宋_GB2312" w:eastAsia="仿宋_GB2312"/>
          <w:sz w:val="32"/>
          <w:szCs w:val="32"/>
        </w:rPr>
        <w:t>经济</w:t>
      </w:r>
      <w:r>
        <w:rPr>
          <w:rFonts w:ascii="仿宋_GB2312" w:eastAsia="仿宋_GB2312"/>
          <w:sz w:val="32"/>
          <w:szCs w:val="32"/>
        </w:rPr>
        <w:t>发展对工科人才结构</w:t>
      </w:r>
      <w:r>
        <w:rPr>
          <w:rFonts w:hint="eastAsia" w:ascii="仿宋_GB2312" w:eastAsia="仿宋_GB2312"/>
          <w:sz w:val="32"/>
          <w:szCs w:val="32"/>
        </w:rPr>
        <w:t>和</w:t>
      </w:r>
      <w:r>
        <w:rPr>
          <w:rFonts w:ascii="仿宋_GB2312" w:eastAsia="仿宋_GB2312"/>
          <w:sz w:val="32"/>
          <w:szCs w:val="32"/>
        </w:rPr>
        <w:t>类型需求,探索新工科的内涵、特征、规律和发展趋势等，提出新工科服务地方产业经济发展的</w:t>
      </w:r>
      <w:r>
        <w:rPr>
          <w:rFonts w:hint="eastAsia" w:ascii="仿宋_GB2312" w:eastAsia="仿宋_GB2312"/>
          <w:sz w:val="32"/>
          <w:szCs w:val="32"/>
        </w:rPr>
        <w:t>总体</w:t>
      </w:r>
      <w:r>
        <w:rPr>
          <w:rFonts w:ascii="仿宋_GB2312" w:eastAsia="仿宋_GB2312"/>
          <w:sz w:val="32"/>
          <w:szCs w:val="32"/>
        </w:rPr>
        <w:t>思路</w:t>
      </w:r>
      <w:r>
        <w:rPr>
          <w:rFonts w:hint="eastAsia" w:ascii="仿宋_GB2312" w:eastAsia="仿宋_GB2312"/>
          <w:sz w:val="32"/>
          <w:szCs w:val="32"/>
        </w:rPr>
        <w:t>、主要任务、重大政策</w:t>
      </w:r>
      <w:r>
        <w:rPr>
          <w:rFonts w:ascii="仿宋_GB2312" w:eastAsia="仿宋_GB2312"/>
          <w:sz w:val="32"/>
          <w:szCs w:val="32"/>
        </w:rPr>
        <w:t>以及工科专业改造升级</w:t>
      </w:r>
      <w:r>
        <w:rPr>
          <w:rFonts w:hint="eastAsia" w:ascii="仿宋_GB2312" w:eastAsia="仿宋_GB2312"/>
          <w:sz w:val="32"/>
          <w:szCs w:val="32"/>
        </w:rPr>
        <w:t>的实施</w:t>
      </w:r>
      <w:r>
        <w:rPr>
          <w:rFonts w:ascii="仿宋_GB2312" w:eastAsia="仿宋_GB2312"/>
          <w:sz w:val="32"/>
          <w:szCs w:val="32"/>
        </w:rPr>
        <w:t>路径。</w:t>
      </w:r>
    </w:p>
    <w:p>
      <w:pPr>
        <w:spacing w:line="580" w:lineRule="exact"/>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十六、省属高校学科专业建设问题研究</w:t>
      </w:r>
    </w:p>
    <w:p>
      <w:pPr>
        <w:spacing w:line="560" w:lineRule="exact"/>
        <w:ind w:firstLine="640" w:firstLineChars="200"/>
        <w:jc w:val="left"/>
        <w:rPr>
          <w:rFonts w:hint="eastAsia" w:ascii="仿宋_GB2312" w:eastAsia="仿宋_GB2312"/>
          <w:sz w:val="32"/>
          <w:szCs w:val="32"/>
        </w:rPr>
      </w:pPr>
      <w:r>
        <w:rPr>
          <w:rFonts w:hint="eastAsia" w:ascii="仿宋" w:hAnsi="仿宋" w:eastAsia="仿宋"/>
          <w:sz w:val="32"/>
          <w:szCs w:val="32"/>
        </w:rPr>
        <w:t>充分把握学科专业内涵，深入分析省属高校学科专业建设的困境及原因，借鉴国内外高校学科专业建设的主要作法及经验，提出省属高校学科专业建设的发展目标、总体思路、基本原则、主要任务和政策框架，促进</w:t>
      </w:r>
      <w:r>
        <w:rPr>
          <w:rFonts w:hint="eastAsia" w:ascii="仿宋_GB2312" w:hAnsi="黑体" w:eastAsia="仿宋_GB2312" w:cs="宋体"/>
          <w:bCs/>
          <w:kern w:val="0"/>
          <w:sz w:val="32"/>
          <w:szCs w:val="32"/>
        </w:rPr>
        <w:t>省属</w:t>
      </w:r>
      <w:r>
        <w:rPr>
          <w:rFonts w:hint="eastAsia" w:ascii="仿宋" w:hAnsi="仿宋" w:eastAsia="仿宋"/>
          <w:sz w:val="32"/>
          <w:szCs w:val="32"/>
        </w:rPr>
        <w:t>高校内涵式发展。</w:t>
      </w:r>
    </w:p>
    <w:p>
      <w:pPr>
        <w:spacing w:line="580" w:lineRule="exact"/>
        <w:ind w:firstLine="636" w:firstLineChars="199"/>
        <w:jc w:val="left"/>
        <w:rPr>
          <w:rFonts w:hint="eastAsia" w:ascii="黑体" w:hAnsi="黑体" w:eastAsia="黑体" w:cs="宋体"/>
          <w:bCs/>
          <w:kern w:val="0"/>
          <w:sz w:val="32"/>
          <w:szCs w:val="32"/>
        </w:rPr>
      </w:pPr>
      <w:r>
        <w:rPr>
          <w:rFonts w:hint="eastAsia" w:ascii="黑体" w:hAnsi="黑体" w:eastAsia="黑体" w:cs="宋体"/>
          <w:bCs/>
          <w:kern w:val="0"/>
          <w:sz w:val="32"/>
          <w:szCs w:val="32"/>
        </w:rPr>
        <w:t>十七、湖北省本科专业（新闻与传播专业）专项评估指标体系研究</w:t>
      </w:r>
    </w:p>
    <w:p>
      <w:pPr>
        <w:spacing w:line="580" w:lineRule="exact"/>
        <w:ind w:firstLine="636" w:firstLineChars="199"/>
        <w:jc w:val="left"/>
        <w:rPr>
          <w:rFonts w:hint="eastAsia" w:ascii="仿宋_GB2312" w:hAnsi="_5b8b_4f53" w:eastAsia="仿宋_GB2312" w:cs="宋体"/>
          <w:bCs/>
          <w:kern w:val="0"/>
          <w:sz w:val="32"/>
          <w:szCs w:val="32"/>
        </w:rPr>
      </w:pPr>
      <w:r>
        <w:rPr>
          <w:rFonts w:hint="eastAsia" w:ascii="仿宋_GB2312" w:hAnsi="_5b8b_4f53" w:eastAsia="仿宋_GB2312" w:cs="宋体"/>
          <w:bCs/>
          <w:kern w:val="0"/>
          <w:sz w:val="32"/>
          <w:szCs w:val="32"/>
        </w:rPr>
        <w:t>从提高人才培养质量出发，以一流学科建设为目的，借鉴兄弟省市的先进经验，总结我省首轮本科专业专项评估的做法和经验，通过调研、试验，探索构建我省新闻与传播专业专项评估指标体系。</w:t>
      </w:r>
    </w:p>
    <w:p>
      <w:pPr>
        <w:ind w:firstLine="630"/>
        <w:rPr>
          <w:rFonts w:hint="eastAsia" w:ascii="黑体" w:hAnsi="黑体" w:eastAsia="黑体"/>
          <w:sz w:val="32"/>
          <w:szCs w:val="32"/>
        </w:rPr>
      </w:pPr>
      <w:r>
        <w:rPr>
          <w:rFonts w:hint="eastAsia" w:ascii="黑体" w:hAnsi="黑体" w:eastAsia="黑体"/>
          <w:sz w:val="32"/>
          <w:szCs w:val="32"/>
        </w:rPr>
        <w:t>十八、民办高校思想政治工作机制创新研究</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深入分析民办高校思想政治工作现状，探索民办高校思想政治工作机制创新的举措与途径，提出改进和加强民办高校</w:t>
      </w:r>
      <w:r>
        <w:rPr>
          <w:rFonts w:ascii="仿宋" w:hAnsi="仿宋" w:eastAsia="仿宋"/>
          <w:sz w:val="32"/>
          <w:szCs w:val="32"/>
        </w:rPr>
        <w:t>思想政治</w:t>
      </w:r>
      <w:r>
        <w:rPr>
          <w:rFonts w:hint="eastAsia" w:ascii="仿宋" w:hAnsi="仿宋" w:eastAsia="仿宋"/>
          <w:sz w:val="32"/>
          <w:szCs w:val="32"/>
        </w:rPr>
        <w:t>工作</w:t>
      </w:r>
      <w:r>
        <w:rPr>
          <w:rFonts w:ascii="仿宋" w:hAnsi="仿宋" w:eastAsia="仿宋"/>
          <w:sz w:val="32"/>
          <w:szCs w:val="32"/>
        </w:rPr>
        <w:t>的</w:t>
      </w:r>
      <w:r>
        <w:rPr>
          <w:rFonts w:hint="eastAsia" w:ascii="仿宋" w:hAnsi="仿宋" w:eastAsia="仿宋"/>
          <w:sz w:val="32"/>
          <w:szCs w:val="32"/>
        </w:rPr>
        <w:t>对策建议。</w:t>
      </w:r>
    </w:p>
    <w:p>
      <w:bookmarkStart w:id="0" w:name="_GoBack"/>
      <w:bookmarkEnd w:id="0"/>
    </w:p>
    <w:sectPr>
      <w:headerReference r:id="rId3" w:type="default"/>
      <w:footerReference r:id="rId4" w:type="default"/>
      <w:footerReference r:id="rId5" w:type="even"/>
      <w:pgSz w:w="11906" w:h="16838"/>
      <w:pgMar w:top="2155" w:right="1588" w:bottom="181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MT Extra">
    <w:panose1 w:val="05050102010205020202"/>
    <w:charset w:val="02"/>
    <w:family w:val="roman"/>
    <w:pitch w:val="default"/>
    <w:sig w:usb0="00000000" w:usb1="00000000" w:usb2="00000000" w:usb3="00000000" w:csb0="0000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_5b8b_4f53">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00000287" w:usb1="00000000"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Fonts w:hint="eastAsia"/>
      </w:rPr>
      <w:fldChar w:fldCharType="begin"/>
    </w:r>
    <w:r>
      <w:rPr>
        <w:rStyle w:val="7"/>
        <w:rFonts w:hint="eastAsia"/>
      </w:rPr>
      <w:instrText xml:space="preserve">PAGE  </w:instrText>
    </w:r>
    <w:r>
      <w:rPr>
        <w:rStyle w:val="7"/>
        <w:rFonts w:hint="eastAsia"/>
      </w:rPr>
      <w:fldChar w:fldCharType="separate"/>
    </w:r>
    <w:r>
      <w:rPr>
        <w:rStyle w:val="7"/>
        <w:rFonts w:hint="eastAsia"/>
      </w:rPr>
      <w:t>3</w:t>
    </w:r>
    <w:r>
      <w:rPr>
        <w:rStyle w:val="7"/>
        <w:rFonts w:hint="eastAsia"/>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Fonts w:hint="eastAsia"/>
      </w:rPr>
      <w:fldChar w:fldCharType="begin"/>
    </w:r>
    <w:r>
      <w:rPr>
        <w:rStyle w:val="7"/>
        <w:rFonts w:hint="eastAsia"/>
      </w:rPr>
      <w:instrText xml:space="preserve">PAGE  </w:instrText>
    </w:r>
    <w:r>
      <w:rPr>
        <w:rStyle w:val="7"/>
        <w:rFonts w:hint="eastAsia"/>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8113D8"/>
    <w:rsid w:val="178113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2"/>
    <w:basedOn w:val="1"/>
    <w:next w:val="1"/>
    <w:unhideWhenUsed/>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cs="宋体"/>
      <w:kern w:val="0"/>
      <w:sz w:val="24"/>
    </w:rPr>
  </w:style>
  <w:style w:type="character" w:styleId="7">
    <w:name w:val="page number"/>
    <w:basedOn w:val="6"/>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2017-11-03T03:02:00Z</dcterms:created>
  <dc:creator>陈</dc:creator>
  <cp:lastModifiedBy>陈</cp:lastModifiedBy>
  <dcterms:modified xsi:type="dcterms:W3CDTF">2017-11-03T03:02:56Z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