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cs="仿宋"/>
          <w:sz w:val="32"/>
          <w:szCs w:val="32"/>
        </w:rPr>
      </w:pPr>
      <w:bookmarkStart w:id="0" w:name="_GoBack"/>
      <w:bookmarkEnd w:id="0"/>
      <w:r>
        <w:rPr>
          <w:rFonts w:hint="eastAsia" w:ascii="仿宋" w:hAnsi="仿宋" w:eastAsia="仿宋" w:cs="仿宋"/>
          <w:sz w:val="32"/>
          <w:szCs w:val="32"/>
        </w:rPr>
        <w:t>附件1：</w:t>
      </w:r>
    </w:p>
    <w:p>
      <w:pPr>
        <w:jc w:val="center"/>
        <w:rPr>
          <w:rFonts w:ascii="方正小标宋简体" w:eastAsia="方正小标宋简体"/>
          <w:sz w:val="44"/>
          <w:szCs w:val="44"/>
        </w:rPr>
      </w:pPr>
    </w:p>
    <w:p>
      <w:pPr>
        <w:jc w:val="center"/>
        <w:rPr>
          <w:rFonts w:ascii="方正小标宋简体" w:eastAsia="方正小标宋简体"/>
          <w:sz w:val="44"/>
          <w:szCs w:val="44"/>
        </w:rPr>
      </w:pPr>
      <w:r>
        <w:rPr>
          <w:rFonts w:hint="eastAsia" w:ascii="方正小标宋简体" w:eastAsia="方正小标宋简体"/>
          <w:sz w:val="44"/>
          <w:szCs w:val="44"/>
        </w:rPr>
        <w:t>湖北省中华职业教育社2023年度课题研究</w:t>
      </w:r>
    </w:p>
    <w:p>
      <w:pPr>
        <w:jc w:val="center"/>
        <w:rPr>
          <w:rFonts w:ascii="方正小标宋简体" w:eastAsia="方正小标宋简体"/>
          <w:sz w:val="44"/>
          <w:szCs w:val="44"/>
        </w:rPr>
      </w:pPr>
      <w:r>
        <w:rPr>
          <w:rFonts w:hint="eastAsia" w:ascii="方正小标宋简体" w:eastAsia="方正小标宋简体"/>
          <w:sz w:val="44"/>
          <w:szCs w:val="44"/>
        </w:rPr>
        <w:t>选题指南</w:t>
      </w:r>
    </w:p>
    <w:p>
      <w:pPr>
        <w:jc w:val="center"/>
        <w:rPr>
          <w:rFonts w:ascii="楷体" w:hAnsi="楷体" w:eastAsia="楷体"/>
          <w:b/>
          <w:sz w:val="32"/>
          <w:szCs w:val="32"/>
        </w:rPr>
      </w:pPr>
      <w:r>
        <w:rPr>
          <w:rFonts w:hint="eastAsia" w:ascii="楷体" w:hAnsi="楷体" w:eastAsia="楷体"/>
          <w:b/>
          <w:sz w:val="30"/>
          <w:szCs w:val="30"/>
        </w:rPr>
        <w:t>（申报者可据此或自主选题自拟题目）</w:t>
      </w:r>
    </w:p>
    <w:p>
      <w:pPr>
        <w:spacing w:line="580" w:lineRule="exact"/>
        <w:rPr>
          <w:rFonts w:ascii="宋体" w:hAnsi="宋体" w:eastAsia="宋体" w:cs="宋体"/>
          <w:sz w:val="24"/>
        </w:rPr>
      </w:pPr>
    </w:p>
    <w:p>
      <w:pPr>
        <w:spacing w:line="580" w:lineRule="exact"/>
        <w:ind w:left="320" w:hanging="320" w:hangingChars="100"/>
        <w:rPr>
          <w:rFonts w:ascii="仿宋_GB2312" w:eastAsia="仿宋_GB2312"/>
          <w:sz w:val="32"/>
          <w:szCs w:val="32"/>
        </w:rPr>
      </w:pPr>
      <w:r>
        <w:rPr>
          <w:rFonts w:hint="eastAsia" w:ascii="仿宋_GB2312" w:eastAsia="仿宋_GB2312"/>
          <w:sz w:val="32"/>
          <w:szCs w:val="32"/>
        </w:rPr>
        <w:t>1.适应建设全国构建新发展格局先行区需要的湖北现代职业教育体系构建研究</w:t>
      </w:r>
    </w:p>
    <w:p>
      <w:pPr>
        <w:spacing w:line="580" w:lineRule="exact"/>
        <w:rPr>
          <w:rFonts w:ascii="仿宋_GB2312" w:eastAsia="仿宋_GB2312"/>
          <w:sz w:val="32"/>
          <w:szCs w:val="32"/>
        </w:rPr>
      </w:pPr>
      <w:r>
        <w:rPr>
          <w:rFonts w:hint="eastAsia" w:ascii="仿宋_GB2312" w:eastAsia="仿宋_GB2312"/>
          <w:sz w:val="32"/>
          <w:szCs w:val="32"/>
        </w:rPr>
        <w:t>2.职业教育服务湖北乡村振兴机制研究</w:t>
      </w:r>
    </w:p>
    <w:p>
      <w:pPr>
        <w:spacing w:line="580" w:lineRule="exact"/>
        <w:ind w:left="320" w:hanging="320" w:hangingChars="100"/>
        <w:rPr>
          <w:rFonts w:ascii="仿宋_GB2312" w:eastAsia="仿宋_GB2312"/>
          <w:sz w:val="32"/>
          <w:szCs w:val="32"/>
        </w:rPr>
      </w:pPr>
      <w:r>
        <w:rPr>
          <w:rFonts w:hint="eastAsia" w:ascii="仿宋_GB2312" w:eastAsia="仿宋_GB2312"/>
          <w:sz w:val="32"/>
          <w:szCs w:val="32"/>
        </w:rPr>
        <w:t>3.职业教育服务湖北现代产业高质量发展（或“三高地两基地”建设）研究</w:t>
      </w:r>
    </w:p>
    <w:p>
      <w:pPr>
        <w:spacing w:line="580" w:lineRule="exact"/>
        <w:rPr>
          <w:rFonts w:ascii="仿宋_GB2312" w:eastAsia="仿宋_GB2312"/>
          <w:sz w:val="32"/>
          <w:szCs w:val="32"/>
        </w:rPr>
      </w:pPr>
      <w:r>
        <w:rPr>
          <w:rFonts w:hint="eastAsia" w:ascii="仿宋_GB2312" w:eastAsia="仿宋_GB2312"/>
          <w:sz w:val="32"/>
          <w:szCs w:val="32"/>
        </w:rPr>
        <w:t>4.职业教育服务湖北十大重点农业产业链策略研究</w:t>
      </w:r>
    </w:p>
    <w:p>
      <w:pPr>
        <w:spacing w:line="580" w:lineRule="exact"/>
        <w:rPr>
          <w:rFonts w:ascii="仿宋_GB2312" w:eastAsia="仿宋_GB2312"/>
          <w:sz w:val="32"/>
          <w:szCs w:val="32"/>
        </w:rPr>
      </w:pPr>
      <w:r>
        <w:rPr>
          <w:rFonts w:hint="eastAsia" w:ascii="仿宋_GB2312" w:eastAsia="仿宋_GB2312"/>
          <w:sz w:val="32"/>
          <w:szCs w:val="32"/>
        </w:rPr>
        <w:t>5.职业教育服务湖北流域综合治理和统筹发展研究</w:t>
      </w:r>
    </w:p>
    <w:p>
      <w:pPr>
        <w:spacing w:line="580" w:lineRule="exact"/>
        <w:ind w:left="320" w:hanging="320" w:hangingChars="100"/>
        <w:rPr>
          <w:rFonts w:ascii="仿宋_GB2312" w:eastAsia="仿宋_GB2312"/>
          <w:sz w:val="32"/>
          <w:szCs w:val="32"/>
        </w:rPr>
      </w:pPr>
      <w:r>
        <w:rPr>
          <w:rFonts w:hint="eastAsia" w:ascii="仿宋_GB2312" w:eastAsia="仿宋_GB2312"/>
          <w:sz w:val="32"/>
          <w:szCs w:val="32"/>
        </w:rPr>
        <w:t>6.“三教”统筹背景下湖北职业教育宏观管理体制改革研究</w:t>
      </w:r>
    </w:p>
    <w:p>
      <w:pPr>
        <w:spacing w:line="580" w:lineRule="exact"/>
        <w:ind w:left="320" w:hanging="320" w:hangingChars="100"/>
        <w:rPr>
          <w:rFonts w:ascii="仿宋_GB2312" w:eastAsia="仿宋_GB2312"/>
          <w:sz w:val="32"/>
          <w:szCs w:val="32"/>
        </w:rPr>
      </w:pPr>
      <w:r>
        <w:rPr>
          <w:rFonts w:hint="eastAsia" w:ascii="仿宋_GB2312" w:eastAsia="仿宋_GB2312"/>
          <w:sz w:val="32"/>
          <w:szCs w:val="32"/>
        </w:rPr>
        <w:t>7.湖北职业教育校企合作激励机制研究</w:t>
      </w:r>
    </w:p>
    <w:p>
      <w:pPr>
        <w:spacing w:line="580" w:lineRule="exact"/>
        <w:rPr>
          <w:rFonts w:ascii="仿宋_GB2312" w:eastAsia="仿宋_GB2312"/>
          <w:sz w:val="32"/>
          <w:szCs w:val="32"/>
        </w:rPr>
      </w:pPr>
      <w:r>
        <w:rPr>
          <w:rFonts w:hint="eastAsia" w:ascii="仿宋_GB2312" w:eastAsia="仿宋_GB2312"/>
          <w:sz w:val="32"/>
          <w:szCs w:val="32"/>
        </w:rPr>
        <w:t>8.湖北职业教育经费投入机制研究</w:t>
      </w:r>
    </w:p>
    <w:p>
      <w:pPr>
        <w:spacing w:line="580" w:lineRule="exact"/>
        <w:ind w:left="320" w:hanging="320" w:hangingChars="100"/>
        <w:rPr>
          <w:rFonts w:ascii="仿宋_GB2312" w:eastAsia="仿宋_GB2312"/>
          <w:sz w:val="32"/>
          <w:szCs w:val="32"/>
        </w:rPr>
      </w:pPr>
      <w:r>
        <w:rPr>
          <w:rFonts w:hint="eastAsia" w:ascii="仿宋_GB2312" w:eastAsia="仿宋_GB2312"/>
          <w:sz w:val="32"/>
          <w:szCs w:val="32"/>
        </w:rPr>
        <w:t>9.职业院校教职工配备基本标准研究</w:t>
      </w:r>
    </w:p>
    <w:p>
      <w:pPr>
        <w:spacing w:line="580" w:lineRule="exact"/>
        <w:rPr>
          <w:rFonts w:ascii="仿宋_GB2312" w:eastAsia="仿宋_GB2312"/>
          <w:sz w:val="32"/>
          <w:szCs w:val="32"/>
        </w:rPr>
      </w:pPr>
      <w:r>
        <w:rPr>
          <w:rFonts w:hint="eastAsia" w:ascii="仿宋_GB2312" w:eastAsia="仿宋_GB2312"/>
          <w:sz w:val="32"/>
          <w:szCs w:val="32"/>
        </w:rPr>
        <w:t>10.中职学生素质教育提升策略研究</w:t>
      </w:r>
    </w:p>
    <w:p>
      <w:pPr>
        <w:spacing w:line="580" w:lineRule="exact"/>
        <w:rPr>
          <w:rFonts w:ascii="仿宋_GB2312" w:eastAsia="仿宋_GB2312"/>
          <w:sz w:val="32"/>
          <w:szCs w:val="32"/>
        </w:rPr>
      </w:pPr>
      <w:r>
        <w:rPr>
          <w:rFonts w:hint="eastAsia" w:ascii="仿宋_GB2312" w:eastAsia="仿宋_GB2312"/>
          <w:sz w:val="32"/>
          <w:szCs w:val="32"/>
        </w:rPr>
        <w:t>11.深化推进湖北“职普融通”体系建设改革的政策研究</w:t>
      </w:r>
    </w:p>
    <w:p>
      <w:pPr>
        <w:spacing w:line="580" w:lineRule="exact"/>
        <w:ind w:left="480" w:hanging="480" w:hangingChars="150"/>
        <w:rPr>
          <w:rFonts w:ascii="仿宋_GB2312" w:eastAsia="仿宋_GB2312"/>
          <w:sz w:val="32"/>
          <w:szCs w:val="32"/>
        </w:rPr>
      </w:pPr>
      <w:r>
        <w:rPr>
          <w:rFonts w:hint="eastAsia" w:ascii="仿宋_GB2312" w:eastAsia="仿宋_GB2312"/>
          <w:sz w:val="32"/>
          <w:szCs w:val="32"/>
        </w:rPr>
        <w:t>12.部省协同推进湖北现代职业教育体系建设机制研究</w:t>
      </w:r>
    </w:p>
    <w:p>
      <w:pPr>
        <w:spacing w:line="580" w:lineRule="exact"/>
        <w:rPr>
          <w:rFonts w:ascii="仿宋_GB2312" w:eastAsia="仿宋_GB2312"/>
          <w:sz w:val="32"/>
          <w:szCs w:val="32"/>
        </w:rPr>
      </w:pPr>
      <w:r>
        <w:rPr>
          <w:rFonts w:hint="eastAsia" w:ascii="仿宋_GB2312" w:eastAsia="仿宋_GB2312"/>
          <w:sz w:val="32"/>
          <w:szCs w:val="32"/>
        </w:rPr>
        <w:t>13.区域产教联合体（行业产教融合共同体）建设研究</w:t>
      </w:r>
    </w:p>
    <w:p>
      <w:pPr>
        <w:spacing w:line="580" w:lineRule="exact"/>
        <w:rPr>
          <w:rFonts w:ascii="仿宋_GB2312" w:eastAsia="仿宋_GB2312"/>
          <w:sz w:val="32"/>
          <w:szCs w:val="32"/>
        </w:rPr>
      </w:pPr>
      <w:r>
        <w:rPr>
          <w:rFonts w:hint="eastAsia" w:ascii="仿宋_GB2312" w:eastAsia="仿宋_GB2312"/>
          <w:sz w:val="32"/>
          <w:szCs w:val="32"/>
        </w:rPr>
        <w:t>14.湖北职业教育科教融汇政策研究</w:t>
      </w:r>
    </w:p>
    <w:p>
      <w:pPr>
        <w:spacing w:line="580" w:lineRule="exact"/>
        <w:rPr>
          <w:rFonts w:ascii="仿宋_GB2312" w:eastAsia="仿宋_GB2312"/>
          <w:sz w:val="32"/>
          <w:szCs w:val="32"/>
        </w:rPr>
      </w:pPr>
      <w:r>
        <w:rPr>
          <w:rFonts w:hint="eastAsia" w:ascii="仿宋_GB2312" w:eastAsia="仿宋_GB2312"/>
          <w:sz w:val="32"/>
          <w:szCs w:val="32"/>
        </w:rPr>
        <w:t>15.职业学校关键办学能力提升机制研究</w:t>
      </w:r>
    </w:p>
    <w:p>
      <w:pPr>
        <w:spacing w:line="580" w:lineRule="exact"/>
        <w:ind w:left="480" w:hanging="480" w:hangingChars="150"/>
        <w:rPr>
          <w:rFonts w:ascii="仿宋_GB2312" w:eastAsia="仿宋_GB2312"/>
          <w:sz w:val="32"/>
          <w:szCs w:val="32"/>
        </w:rPr>
      </w:pPr>
      <w:r>
        <w:rPr>
          <w:rFonts w:hint="eastAsia" w:ascii="仿宋_GB2312" w:eastAsia="仿宋_GB2312"/>
          <w:sz w:val="32"/>
          <w:szCs w:val="32"/>
        </w:rPr>
        <w:t>16.职业院校“双师型”教师队伍培养培训体系（或激励机制）研究</w:t>
      </w:r>
    </w:p>
    <w:p>
      <w:pPr>
        <w:spacing w:line="580" w:lineRule="exact"/>
        <w:rPr>
          <w:rFonts w:ascii="仿宋_GB2312" w:eastAsia="仿宋_GB2312"/>
          <w:sz w:val="32"/>
          <w:szCs w:val="32"/>
        </w:rPr>
      </w:pPr>
      <w:r>
        <w:rPr>
          <w:rFonts w:hint="eastAsia" w:ascii="仿宋_GB2312" w:eastAsia="仿宋_GB2312"/>
          <w:sz w:val="32"/>
          <w:szCs w:val="32"/>
        </w:rPr>
        <w:t>17.湖北职业教育数字化转型发展研究</w:t>
      </w:r>
    </w:p>
    <w:p>
      <w:pPr>
        <w:spacing w:line="580" w:lineRule="exact"/>
        <w:rPr>
          <w:rFonts w:ascii="仿宋_GB2312" w:eastAsia="仿宋_GB2312"/>
          <w:sz w:val="32"/>
          <w:szCs w:val="32"/>
        </w:rPr>
      </w:pPr>
      <w:r>
        <w:rPr>
          <w:rFonts w:hint="eastAsia" w:ascii="仿宋_GB2312" w:eastAsia="仿宋_GB2312"/>
          <w:sz w:val="32"/>
          <w:szCs w:val="32"/>
        </w:rPr>
        <w:t>18.职业院校“教联体”建设模式研究</w:t>
      </w:r>
    </w:p>
    <w:p>
      <w:pPr>
        <w:spacing w:line="580" w:lineRule="exact"/>
        <w:rPr>
          <w:rFonts w:ascii="仿宋_GB2312" w:eastAsia="仿宋_GB2312"/>
          <w:sz w:val="32"/>
          <w:szCs w:val="32"/>
        </w:rPr>
      </w:pPr>
      <w:r>
        <w:rPr>
          <w:rFonts w:hint="eastAsia" w:ascii="仿宋_GB2312" w:eastAsia="仿宋_GB2312"/>
          <w:sz w:val="32"/>
          <w:szCs w:val="32"/>
        </w:rPr>
        <w:t>19.中高职一体化发展机制研究</w:t>
      </w:r>
    </w:p>
    <w:p>
      <w:pPr>
        <w:spacing w:line="580" w:lineRule="exact"/>
        <w:rPr>
          <w:rFonts w:ascii="仿宋_GB2312" w:eastAsia="仿宋_GB2312"/>
          <w:sz w:val="32"/>
          <w:szCs w:val="32"/>
        </w:rPr>
      </w:pPr>
      <w:r>
        <w:rPr>
          <w:rFonts w:hint="eastAsia" w:ascii="仿宋_GB2312" w:eastAsia="仿宋_GB2312"/>
          <w:sz w:val="32"/>
          <w:szCs w:val="32"/>
        </w:rPr>
        <w:t>20.推进湖北产教融合服务组织建设研究</w:t>
      </w:r>
    </w:p>
    <w:p>
      <w:pPr>
        <w:spacing w:line="580" w:lineRule="exact"/>
        <w:rPr>
          <w:rFonts w:ascii="仿宋_GB2312" w:eastAsia="仿宋_GB2312"/>
          <w:sz w:val="32"/>
          <w:szCs w:val="32"/>
        </w:rPr>
      </w:pPr>
    </w:p>
    <w:p>
      <w:pPr>
        <w:spacing w:line="580" w:lineRule="exact"/>
        <w:rPr>
          <w:rFonts w:ascii="仿宋_GB2312" w:eastAsia="仿宋_GB2312"/>
          <w:sz w:val="32"/>
          <w:szCs w:val="32"/>
        </w:rPr>
      </w:pPr>
    </w:p>
    <w:sectPr>
      <w:pgSz w:w="11906" w:h="16838"/>
      <w:pgMar w:top="1440" w:right="1349" w:bottom="1440"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embedRegular r:id="rId1" w:fontKey="{258472F0-6827-4DF7-8137-F6BA044C4515}"/>
  </w:font>
  <w:font w:name="楷体">
    <w:panose1 w:val="02010609060101010101"/>
    <w:charset w:val="86"/>
    <w:family w:val="modern"/>
    <w:pitch w:val="default"/>
    <w:sig w:usb0="800002BF" w:usb1="38CF7CFA" w:usb2="00000016" w:usb3="00000000" w:csb0="00040001" w:csb1="00000000"/>
    <w:embedRegular r:id="rId2" w:fontKey="{E609E413-9973-45B2-BA96-486359406356}"/>
  </w:font>
  <w:font w:name="仿宋_GB2312">
    <w:altName w:val="仿宋"/>
    <w:panose1 w:val="02010609030101010101"/>
    <w:charset w:val="86"/>
    <w:family w:val="modern"/>
    <w:pitch w:val="default"/>
    <w:sig w:usb0="00000000" w:usb1="00000000" w:usb2="00000010" w:usb3="00000000" w:csb0="00040000" w:csb1="00000000"/>
    <w:embedRegular r:id="rId3" w:fontKey="{35816627-6F09-48AE-9BC1-A9F476EFAE5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1MjA4OWZlYzEwNmY0YjA4Njg2Y2U2MTE1ZTg3NTEifQ=="/>
  </w:docVars>
  <w:rsids>
    <w:rsidRoot w:val="00CB5C5D"/>
    <w:rsid w:val="000005BE"/>
    <w:rsid w:val="000024C2"/>
    <w:rsid w:val="0000379B"/>
    <w:rsid w:val="00006C4C"/>
    <w:rsid w:val="000515E5"/>
    <w:rsid w:val="000741A1"/>
    <w:rsid w:val="00091C76"/>
    <w:rsid w:val="00093080"/>
    <w:rsid w:val="000B6313"/>
    <w:rsid w:val="000C0F59"/>
    <w:rsid w:val="000D7F48"/>
    <w:rsid w:val="00114914"/>
    <w:rsid w:val="00136653"/>
    <w:rsid w:val="00145B07"/>
    <w:rsid w:val="001508AC"/>
    <w:rsid w:val="001553F7"/>
    <w:rsid w:val="001646E5"/>
    <w:rsid w:val="00190470"/>
    <w:rsid w:val="001A428B"/>
    <w:rsid w:val="001C222F"/>
    <w:rsid w:val="001C40F8"/>
    <w:rsid w:val="001D0CB4"/>
    <w:rsid w:val="0022009B"/>
    <w:rsid w:val="002246E5"/>
    <w:rsid w:val="002251CE"/>
    <w:rsid w:val="00236BA8"/>
    <w:rsid w:val="00252ABE"/>
    <w:rsid w:val="002536DC"/>
    <w:rsid w:val="0026713A"/>
    <w:rsid w:val="00284DB5"/>
    <w:rsid w:val="00293305"/>
    <w:rsid w:val="002A0EEB"/>
    <w:rsid w:val="002A5782"/>
    <w:rsid w:val="002A6DD6"/>
    <w:rsid w:val="002A7702"/>
    <w:rsid w:val="002C238D"/>
    <w:rsid w:val="002C2827"/>
    <w:rsid w:val="002C36F6"/>
    <w:rsid w:val="002D6D31"/>
    <w:rsid w:val="002F38A1"/>
    <w:rsid w:val="002F58AC"/>
    <w:rsid w:val="00300828"/>
    <w:rsid w:val="00300E58"/>
    <w:rsid w:val="003017E7"/>
    <w:rsid w:val="00323883"/>
    <w:rsid w:val="003246CA"/>
    <w:rsid w:val="003277FF"/>
    <w:rsid w:val="0032785F"/>
    <w:rsid w:val="003317A6"/>
    <w:rsid w:val="00360D15"/>
    <w:rsid w:val="00363307"/>
    <w:rsid w:val="003831C6"/>
    <w:rsid w:val="0039129E"/>
    <w:rsid w:val="003913CE"/>
    <w:rsid w:val="003B6714"/>
    <w:rsid w:val="003C0BC3"/>
    <w:rsid w:val="003C7C9A"/>
    <w:rsid w:val="003D4D71"/>
    <w:rsid w:val="003E7CBD"/>
    <w:rsid w:val="004003F2"/>
    <w:rsid w:val="00467363"/>
    <w:rsid w:val="00490224"/>
    <w:rsid w:val="004942BF"/>
    <w:rsid w:val="004D74F9"/>
    <w:rsid w:val="00505D97"/>
    <w:rsid w:val="00540EEB"/>
    <w:rsid w:val="0056237A"/>
    <w:rsid w:val="005736A1"/>
    <w:rsid w:val="00575A12"/>
    <w:rsid w:val="005809C0"/>
    <w:rsid w:val="005821E1"/>
    <w:rsid w:val="0058224A"/>
    <w:rsid w:val="00587F5A"/>
    <w:rsid w:val="005937F2"/>
    <w:rsid w:val="005F655A"/>
    <w:rsid w:val="006139DB"/>
    <w:rsid w:val="00614A8F"/>
    <w:rsid w:val="00614C27"/>
    <w:rsid w:val="00634CCF"/>
    <w:rsid w:val="00654EDE"/>
    <w:rsid w:val="00690EC2"/>
    <w:rsid w:val="006A00DB"/>
    <w:rsid w:val="006A3F05"/>
    <w:rsid w:val="006C2634"/>
    <w:rsid w:val="006E1155"/>
    <w:rsid w:val="006F1FF2"/>
    <w:rsid w:val="007139A6"/>
    <w:rsid w:val="00730B60"/>
    <w:rsid w:val="00737D61"/>
    <w:rsid w:val="00764E25"/>
    <w:rsid w:val="00766AD6"/>
    <w:rsid w:val="007A40C2"/>
    <w:rsid w:val="007B2B92"/>
    <w:rsid w:val="007E37A4"/>
    <w:rsid w:val="00807257"/>
    <w:rsid w:val="00817DB1"/>
    <w:rsid w:val="00847E89"/>
    <w:rsid w:val="00852CF6"/>
    <w:rsid w:val="00857C14"/>
    <w:rsid w:val="008642C2"/>
    <w:rsid w:val="008809E9"/>
    <w:rsid w:val="0088726E"/>
    <w:rsid w:val="00895815"/>
    <w:rsid w:val="008A0CF0"/>
    <w:rsid w:val="008C322F"/>
    <w:rsid w:val="008C409B"/>
    <w:rsid w:val="008E1548"/>
    <w:rsid w:val="008E23B7"/>
    <w:rsid w:val="008E4382"/>
    <w:rsid w:val="008F7B57"/>
    <w:rsid w:val="00933C16"/>
    <w:rsid w:val="00972E18"/>
    <w:rsid w:val="00973DFD"/>
    <w:rsid w:val="00984D6E"/>
    <w:rsid w:val="00987681"/>
    <w:rsid w:val="009E2564"/>
    <w:rsid w:val="00A149A2"/>
    <w:rsid w:val="00A16E81"/>
    <w:rsid w:val="00A24B1B"/>
    <w:rsid w:val="00A41A3B"/>
    <w:rsid w:val="00A503F1"/>
    <w:rsid w:val="00A54D49"/>
    <w:rsid w:val="00A6308A"/>
    <w:rsid w:val="00A84C5E"/>
    <w:rsid w:val="00AA0214"/>
    <w:rsid w:val="00AC17A3"/>
    <w:rsid w:val="00AC489D"/>
    <w:rsid w:val="00AC7546"/>
    <w:rsid w:val="00AE1D47"/>
    <w:rsid w:val="00B05D91"/>
    <w:rsid w:val="00B2469A"/>
    <w:rsid w:val="00B61D8C"/>
    <w:rsid w:val="00B66B4D"/>
    <w:rsid w:val="00B9440E"/>
    <w:rsid w:val="00BA1810"/>
    <w:rsid w:val="00BA3934"/>
    <w:rsid w:val="00BC4D3F"/>
    <w:rsid w:val="00BD45EF"/>
    <w:rsid w:val="00BE19F1"/>
    <w:rsid w:val="00BF43E8"/>
    <w:rsid w:val="00C2334C"/>
    <w:rsid w:val="00C23930"/>
    <w:rsid w:val="00C30DF5"/>
    <w:rsid w:val="00C364F9"/>
    <w:rsid w:val="00C44F36"/>
    <w:rsid w:val="00C548D4"/>
    <w:rsid w:val="00C82855"/>
    <w:rsid w:val="00C87CE8"/>
    <w:rsid w:val="00C96A7D"/>
    <w:rsid w:val="00CB5C5D"/>
    <w:rsid w:val="00CC50F5"/>
    <w:rsid w:val="00D274C5"/>
    <w:rsid w:val="00D327B2"/>
    <w:rsid w:val="00D66764"/>
    <w:rsid w:val="00D76673"/>
    <w:rsid w:val="00DC4207"/>
    <w:rsid w:val="00DE2D97"/>
    <w:rsid w:val="00E116C8"/>
    <w:rsid w:val="00E22D4B"/>
    <w:rsid w:val="00E27011"/>
    <w:rsid w:val="00E35C27"/>
    <w:rsid w:val="00E56461"/>
    <w:rsid w:val="00E616FC"/>
    <w:rsid w:val="00E7115A"/>
    <w:rsid w:val="00EC5B64"/>
    <w:rsid w:val="00F36DEC"/>
    <w:rsid w:val="00F40601"/>
    <w:rsid w:val="00F569C7"/>
    <w:rsid w:val="00FB15AA"/>
    <w:rsid w:val="00FD05A4"/>
    <w:rsid w:val="00FD7878"/>
    <w:rsid w:val="00FF2980"/>
    <w:rsid w:val="02FF1A04"/>
    <w:rsid w:val="049B4CB3"/>
    <w:rsid w:val="05997475"/>
    <w:rsid w:val="06334FAA"/>
    <w:rsid w:val="07284D58"/>
    <w:rsid w:val="0BE10E8C"/>
    <w:rsid w:val="0CBF11FD"/>
    <w:rsid w:val="0F5D6873"/>
    <w:rsid w:val="0F800650"/>
    <w:rsid w:val="1413167B"/>
    <w:rsid w:val="144D7E1F"/>
    <w:rsid w:val="157E173D"/>
    <w:rsid w:val="1FA51412"/>
    <w:rsid w:val="251D7050"/>
    <w:rsid w:val="30AA3A04"/>
    <w:rsid w:val="33A50DC4"/>
    <w:rsid w:val="3C1E3F61"/>
    <w:rsid w:val="4B935D7F"/>
    <w:rsid w:val="4C1B63B5"/>
    <w:rsid w:val="54B3028B"/>
    <w:rsid w:val="54B74395"/>
    <w:rsid w:val="5C147A66"/>
    <w:rsid w:val="5CCD53F3"/>
    <w:rsid w:val="5D2E279B"/>
    <w:rsid w:val="61B25D4D"/>
    <w:rsid w:val="68714797"/>
    <w:rsid w:val="77BA61CD"/>
    <w:rsid w:val="79CC589B"/>
    <w:rsid w:val="79D83986"/>
    <w:rsid w:val="7B8E0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Theme="minorHAnsi" w:hAnsiTheme="minorHAnsi" w:eastAsiaTheme="minorEastAsia" w:cstheme="minorBidi"/>
      <w:kern w:val="2"/>
      <w:sz w:val="18"/>
      <w:szCs w:val="18"/>
    </w:rPr>
  </w:style>
  <w:style w:type="character" w:customStyle="1" w:styleId="8">
    <w:name w:val="页脚 Char"/>
    <w:basedOn w:val="6"/>
    <w:link w:val="3"/>
    <w:qFormat/>
    <w:uiPriority w:val="0"/>
    <w:rPr>
      <w:rFonts w:asciiTheme="minorHAnsi" w:hAnsiTheme="minorHAnsi" w:eastAsiaTheme="minorEastAsia" w:cstheme="minorBidi"/>
      <w:kern w:val="2"/>
      <w:sz w:val="18"/>
      <w:szCs w:val="18"/>
    </w:rPr>
  </w:style>
  <w:style w:type="paragraph" w:styleId="9">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452</Words>
  <Characters>486</Characters>
  <Lines>1</Lines>
  <Paragraphs>1</Paragraphs>
  <TotalTime>177</TotalTime>
  <ScaleCrop>false</ScaleCrop>
  <LinksUpToDate>false</LinksUpToDate>
  <CharactersWithSpaces>486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2022-03-08T03:33:00Z</dcterms:created>
  <dc:creator>Administrator</dc:creator>
  <cp:lastModifiedBy>Administrator</cp:lastModifiedBy>
  <cp:lastPrinted>2023-02-23T02:22:00Z</cp:lastPrinted>
  <dcterms:modified xsi:type="dcterms:W3CDTF">2023-02-24T06:58:46Z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70868B08040847EAAA7BEB231ECA38C1</vt:lpwstr>
  </property>
</Properties>
</file>